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апреля 2015 г. N АК/18070/15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РАЗЪЯСНЕНИЙ ФАС РОССИИ ПО РАССМОТРЕНИЮ ЖАЛОБ И ОБРАЩЕНИЙ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ОСУЩЕСТВЛЕНИЕ ЗАКУПОК ТЕХНИЧЕСКИХ СРЕДСТВ РЕАБИЛИТАЦИИ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(БАНДАЖЕЙ, КОРСЕТОВ И РЕКЛИНАТОРОВ)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Федеральной антимонопольной службой ранее </w:t>
      </w:r>
      <w:hyperlink r:id="rId6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от 17.10.2014 N ИА/42194/14 направлены разъяснения по рассмотрению жалоб и обращений на осуществление закупок функционально и технологически не связанных различных технических средств реабилитации (далее - ТСР) одним лотом.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Настоящим письмом ФАС России дополняет указанные разъяснения в отношении установления заказчиками необоснованных требований к ТСР применительно к бандажам, корсетам и реклинаторам.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Выборочный анализ закупок ТСР в различных регионах Российской Федерации показал, что при описании объекта закупки заказчиками зачастую устанавливаются требования к материалам, из которых должны производиться бандажи, корсеты и реклинаторы, их комплектации, а также к способу крепления с признаками нарушения </w:t>
      </w:r>
      <w:hyperlink r:id="rId7" w:history="1">
        <w:r>
          <w:rPr>
            <w:rFonts w:ascii="Calibri" w:hAnsi="Calibri" w:cs="Calibri"/>
            <w:color w:val="0000FF"/>
          </w:rPr>
          <w:t>части 1 статьи 33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</w:t>
      </w:r>
      <w:proofErr w:type="gramEnd"/>
      <w:r>
        <w:rPr>
          <w:rFonts w:ascii="Calibri" w:hAnsi="Calibri" w:cs="Calibri"/>
        </w:rPr>
        <w:t xml:space="preserve"> государственных и муниципальных нужд" (далее - Закон о контрактной системе) и </w:t>
      </w:r>
      <w:hyperlink r:id="rId8" w:history="1">
        <w:r>
          <w:rPr>
            <w:rFonts w:ascii="Calibri" w:hAnsi="Calibri" w:cs="Calibri"/>
            <w:color w:val="0000FF"/>
          </w:rPr>
          <w:t>части 2 статьи 17</w:t>
        </w:r>
      </w:hyperlink>
      <w:r>
        <w:rPr>
          <w:rFonts w:ascii="Calibri" w:hAnsi="Calibri" w:cs="Calibri"/>
        </w:rPr>
        <w:t xml:space="preserve"> Федерального закона от 26.07.2006 N 135-ФЗ "О защите конкуренции" (далее - Закон о защите конкуренции).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1 статьи 33</w:t>
        </w:r>
      </w:hyperlink>
      <w:r>
        <w:rPr>
          <w:rFonts w:ascii="Calibri" w:hAnsi="Calibri" w:cs="Calibri"/>
        </w:rPr>
        <w:t xml:space="preserve"> Закона о контрактной системе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proofErr w:type="gramStart"/>
      <w:r>
        <w:rPr>
          <w:rFonts w:ascii="Calibri" w:hAnsi="Calibri" w:cs="Calibri"/>
        </w:rP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способа, обеспечивающего более</w:t>
      </w:r>
      <w:proofErr w:type="gramEnd"/>
      <w:r>
        <w:rPr>
          <w:rFonts w:ascii="Calibri" w:hAnsi="Calibri" w:cs="Calibri"/>
        </w:rPr>
        <w:t xml:space="preserve"> точное и четкое описание характеристик объекта закупки.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части 2 статьи 17</w:t>
        </w:r>
      </w:hyperlink>
      <w:r>
        <w:rPr>
          <w:rFonts w:ascii="Calibri" w:hAnsi="Calibri" w:cs="Calibri"/>
        </w:rPr>
        <w:t xml:space="preserve"> Закона о защите конкуренции при проведении торгов, запроса котировок, запроса предложений в случае закупок товаров, работ,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заказчиками требований необъективного характера путем излишней детализации описания объекта закупки, вплоть до соответствия товару одного производителя, приводит к ограничению количества участников размещения заказа, не создает предпосылок для экономии бюджетных средств. Напротив, соблюдение заказчиками конкурентных основ описания объекта закупки, под которое подпадают товары различных производителей, приводит к увеличению количества участников закупок и значительной экономии бюджетных средств.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 целью недопущения ограничения и устранения конкуренции при осуществлении закупок для государственных и муниципальных нужд ТСР путем установления требований к материалам медицинских изделий (бандажей, корсетов и реклинаторов), их комплектации, а также к способу крепления, в совокупности соответствующих товару определенного производителя, закрепления единой практики применения территориальными органами ФАС России при рассмотрении жалоб </w:t>
      </w:r>
      <w:r>
        <w:rPr>
          <w:rFonts w:ascii="Calibri" w:hAnsi="Calibri" w:cs="Calibri"/>
        </w:rPr>
        <w:lastRenderedPageBreak/>
        <w:t>и обращений хозяйствующих субъектов законодательства, регулирующего вопросы проведения закупок</w:t>
      </w:r>
      <w:proofErr w:type="gramEnd"/>
      <w:r>
        <w:rPr>
          <w:rFonts w:ascii="Calibri" w:hAnsi="Calibri" w:cs="Calibri"/>
        </w:rPr>
        <w:t xml:space="preserve"> и конкуренции, ФАС России направляет разъяснения по рассмотрению жалоб и обращений на осуществление закупок указанных ТСР, отвечающие требованиям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 и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защите конкуренции.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антимонопольная служба, сопоставив практику закупок ТСР и действующее законодательство, регулирующее вопросы конкуренции, проведения закупок и обеспечения инвалидов ТСР, пришла к следующему.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11.1</w:t>
        </w:r>
      </w:hyperlink>
      <w:r>
        <w:rPr>
          <w:rFonts w:ascii="Calibri" w:hAnsi="Calibri" w:cs="Calibri"/>
        </w:rPr>
        <w:t xml:space="preserve"> Федерального закона от 24.11.1995 N 181-ФЗ "О социальной защите инвалидов в Российской Федерации" (далее - Закон о защите инвалидов) решение об обеспечении инвалидов ТСР принимается при установлении медицинских показаний и противопоказаний. Медицинские показания и противопоказания устанавливаются на основе оценки стойких расстройств функций организма, обусловленных заболеваниями, последствиями травм и дефектами. По медицинским показаниям и противопоказаниям устанавливается необходимость предоставления инвалиду ТСР, которые обеспечивают компенсацию или устранение стойких ограничений жизнедеятельности инвалида. Перечень показаний и противопоказаний для обеспечения инвалидов ТСР определяется уполномоченным Правительством Российской Федерации федеральным органом исполнительной власти.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4" w:history="1">
        <w:r>
          <w:rPr>
            <w:rFonts w:ascii="Calibri" w:hAnsi="Calibri" w:cs="Calibri"/>
            <w:color w:val="0000FF"/>
          </w:rPr>
          <w:t>пункту 5.2.107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19.06.2012 N 610 "Об утверждении Положения о Министерстве труда и социальной защиты Российской Федерации" Минтруд России самостоятельно принимает перечень показаний и противопоказаний для обеспечения инвалидов ТСР.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Минтруда России от 09.12.2014 N 998н "Об утверждении перечня показаний и противопоказаний для обеспечения инвалидов ТСР" корсетами и реклинаторами обеспечиваются инвалиды со следующими медицинскими показаниями: стойкие умеренные, выраженные или значительно выраженные нарушения статодинамических функций позвоночника вследствие заболеваний, последствий травм, аномалий развития; при этом относительными медицинскими противопоказаниями являются: выраженные и значительно выраженные психические расстройства в стадии обострения с ограничением способности контролировать свое поведение. </w:t>
      </w:r>
      <w:proofErr w:type="gramStart"/>
      <w:r>
        <w:rPr>
          <w:rFonts w:ascii="Calibri" w:hAnsi="Calibri" w:cs="Calibri"/>
        </w:rPr>
        <w:t>Бандажами обеспечиваются инвалиды со следующими медицинскими показаниями: стойкие умеренно выраженные статодинамические нарушения вследствие заболеваний, последствий травм, деформаций опорно-двигательного аппарата; сосудов верхних и нижних конечностей; грыжи различных локализаций, опущение органов брюшной полости; при этом абсолютными медицинскими противопоказаниями являются: ущемленные грыжи, не вправляемые грыжи; относительным медицинским противопоказанием является: индивидуальная непереносимость материала, из которого изготовлено изделие.</w:t>
      </w:r>
      <w:proofErr w:type="gramEnd"/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16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Закона о защите инвалидов индивидуальная программа реабилитации (ИПР) инвалида - разработанный на основе решения уполномоченного органа, осуществляющего руководство федеральными учреждениями медико-социальной экспертизы,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</w:t>
      </w:r>
      <w:proofErr w:type="gramEnd"/>
      <w:r>
        <w:rPr>
          <w:rFonts w:ascii="Calibri" w:hAnsi="Calibri" w:cs="Calibri"/>
        </w:rPr>
        <w:t xml:space="preserve"> способностей инвалида к выполнению определенных видов деятельности.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ИПР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ИПР инвалида содержит как реабилитационные мероприятия,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реабилитационные мероприятия, в оплате которых принимают участие сам инвалид либо другие лица или организации независимо от организационно-правовых форм и форм собственности.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ИПР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ТСР </w:t>
      </w:r>
      <w:r>
        <w:rPr>
          <w:rFonts w:ascii="Calibri" w:hAnsi="Calibri" w:cs="Calibri"/>
        </w:rPr>
        <w:lastRenderedPageBreak/>
        <w:t>или 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сигнализаторы, видеоматериалы с субтитрами или сурдопереводом, другими аналогичными средствами.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7" w:history="1">
        <w:r>
          <w:rPr>
            <w:rFonts w:ascii="Calibri" w:hAnsi="Calibri" w:cs="Calibri"/>
            <w:color w:val="0000FF"/>
          </w:rPr>
          <w:t>Порядку</w:t>
        </w:r>
      </w:hyperlink>
      <w:r>
        <w:rPr>
          <w:rFonts w:ascii="Calibri" w:hAnsi="Calibri" w:cs="Calibri"/>
        </w:rPr>
        <w:t xml:space="preserve"> выплаты компенсации за самостоятельно приобретенное инвалидом ТСР и (или) оказанную услугу, включая порядок определения ее размера и порядок информирования граждан о размере указанной компенсации, утвержденному приказом Минздравсоцразвития России от 31.01.2011 N 57н, компенсация выплачивается на основании </w:t>
      </w:r>
      <w:hyperlink r:id="rId18" w:history="1">
        <w:r>
          <w:rPr>
            <w:rFonts w:ascii="Calibri" w:hAnsi="Calibri" w:cs="Calibri"/>
            <w:color w:val="0000FF"/>
          </w:rPr>
          <w:t>классификации</w:t>
        </w:r>
      </w:hyperlink>
      <w:r>
        <w:rPr>
          <w:rFonts w:ascii="Calibri" w:hAnsi="Calibri" w:cs="Calibri"/>
        </w:rPr>
        <w:t xml:space="preserve"> ТСР в рамках федерального </w:t>
      </w:r>
      <w:hyperlink r:id="rId19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реабилитационных мероприятий, ТСР и услуг, предоставляемых инвалиду, утвержденного распоряжением Правительства Российской Федерации от 30.12.2005 N 2347-р</w:t>
      </w:r>
      <w:proofErr w:type="gramEnd"/>
      <w:r>
        <w:rPr>
          <w:rFonts w:ascii="Calibri" w:hAnsi="Calibri" w:cs="Calibri"/>
        </w:rPr>
        <w:t>, утвержденной приказом Министерства труда и социальной защиты Российской Федерации от 24.05.2013 N 214н (далее - Приказ N 214).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0" w:history="1">
        <w:r>
          <w:rPr>
            <w:rFonts w:ascii="Calibri" w:hAnsi="Calibri" w:cs="Calibri"/>
            <w:color w:val="0000FF"/>
          </w:rPr>
          <w:t>Приказом N 214</w:t>
        </w:r>
      </w:hyperlink>
      <w:r>
        <w:rPr>
          <w:rFonts w:ascii="Calibri" w:hAnsi="Calibri" w:cs="Calibri"/>
        </w:rPr>
        <w:t xml:space="preserve"> классификация ТСР не содержит указание на материалы, из которых изготавливается ТСР, комплектацию и способ крепления.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ФАС России обращает внимание, что инвалиду подлежит выплата компенсации за ТСР, соответствующее исключительно виду ТСР, рекомендованного ИПР инвалида.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обеспечения инвалидов и ветеранов ТСР определяется </w:t>
      </w:r>
      <w:hyperlink r:id="rId2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обеспечения инвалидов ТСР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N 240 (далее - Правила обеспечения ТСР).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22" w:history="1">
        <w:r>
          <w:rPr>
            <w:rFonts w:ascii="Calibri" w:hAnsi="Calibri" w:cs="Calibri"/>
            <w:color w:val="0000FF"/>
          </w:rPr>
          <w:t>пункту 2</w:t>
        </w:r>
      </w:hyperlink>
      <w:r>
        <w:rPr>
          <w:rFonts w:ascii="Calibri" w:hAnsi="Calibri" w:cs="Calibri"/>
        </w:rPr>
        <w:t xml:space="preserve"> Правил обеспечения ТСР обеспечение инвалидов техническими средствами осуществляется в соответствии с ИПР инвалидов, разрабатываемыми федеральными государственными учреждениями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 в порядке, установленном Министерством труда и социальной защиты Российской Федерации. Обеспечение ветеранов изделиями осуществляется в соответствии с заключениями об обеспечении протезами, протезно-ортопедическими изделиями ветеранов, выдаваемыми врачебными комиссиями медицинских организаций, оказывающих лечебно-профилактическую помощь ветеранам (заключение). Форма заключения и порядок его заполнения утверждаются Министерством здравоохранения Российской Федерации.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ИПР инвалида утверждена приказом Минздравсоцразвития Российской Федерации от 04.08.2008 N 379н "Об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экспертизы, порядка их разработки и реализации".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ИПР инвалида содержит </w:t>
      </w:r>
      <w:hyperlink r:id="rId24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"Технические средства реабилитации и услуги по реабилитации (ТСР)", согласно которому указывается перечень ТСР, без указания специалистами МСЭ материалов, из которых должны быть изготовлены ТСР, чем должны комплектоваться и какими способами должны крепиться.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ответа Минтруда России на запрос ФАС России следует, что ТСР, в которых нуждается инвалид, определяются специалистами МСЭ в рамках ИПР инвалида с учетом имеющегося у инвалида реабилитационного потенциала, для определения которого оценивается анатомно-функциональное состояние организма в целом. Такие оценки выполняются на основании данных, представленных специалистами лечебно-профилактического учреждения по </w:t>
      </w:r>
      <w:hyperlink r:id="rId25" w:history="1">
        <w:r>
          <w:rPr>
            <w:rFonts w:ascii="Calibri" w:hAnsi="Calibri" w:cs="Calibri"/>
            <w:color w:val="0000FF"/>
          </w:rPr>
          <w:t>форме N 088/у-06</w:t>
        </w:r>
      </w:hyperlink>
      <w:r>
        <w:rPr>
          <w:rFonts w:ascii="Calibri" w:hAnsi="Calibri" w:cs="Calibri"/>
        </w:rPr>
        <w:t>, утвержденной приказом Минздравсоцразвития России от 31.01.2007 N 77.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Заключения об обеспечении ветерана ТСР (Форма N 88-1/у) и </w:t>
      </w:r>
      <w:hyperlink r:id="rId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его заполнения утверждены приказом Минздравсоцразвития Российской Федерации от 31.07.2008 N 370н "Об утверждении формы и заключения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 и порядка ее заполнения".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Форма N 88-1/</w:t>
        </w:r>
        <w:proofErr w:type="gramStart"/>
        <w:r>
          <w:rPr>
            <w:rFonts w:ascii="Calibri" w:hAnsi="Calibri" w:cs="Calibri"/>
            <w:color w:val="0000FF"/>
          </w:rPr>
          <w:t>у</w:t>
        </w:r>
        <w:proofErr w:type="gramEnd"/>
      </w:hyperlink>
      <w:r>
        <w:rPr>
          <w:rFonts w:ascii="Calibri" w:hAnsi="Calibri" w:cs="Calibri"/>
        </w:rPr>
        <w:t xml:space="preserve"> содержит </w:t>
      </w:r>
      <w:proofErr w:type="gramStart"/>
      <w:r>
        <w:rPr>
          <w:rFonts w:ascii="Calibri" w:hAnsi="Calibri" w:cs="Calibri"/>
        </w:rPr>
        <w:t>наименование</w:t>
      </w:r>
      <w:proofErr w:type="gramEnd"/>
      <w:r>
        <w:rPr>
          <w:rFonts w:ascii="Calibri" w:hAnsi="Calibri" w:cs="Calibri"/>
        </w:rPr>
        <w:t xml:space="preserve"> рекомендованного протеза, протезно-ортопедического изделия, без указания специалистами врачебных комиссий медицинских организаций, оказывающих лечебно-профилактическую помощь ветеранам, материалов, из которых должны быть изготовлены ТСР, чем должны комплектоваться и какими способами </w:t>
      </w:r>
      <w:r>
        <w:rPr>
          <w:rFonts w:ascii="Calibri" w:hAnsi="Calibri" w:cs="Calibri"/>
        </w:rPr>
        <w:lastRenderedPageBreak/>
        <w:t xml:space="preserve">должны крепиться. Кроме того, в соответствии с </w:t>
      </w:r>
      <w:hyperlink r:id="rId29" w:history="1">
        <w:r>
          <w:rPr>
            <w:rFonts w:ascii="Calibri" w:hAnsi="Calibri" w:cs="Calibri"/>
            <w:color w:val="0000FF"/>
          </w:rPr>
          <w:t>пунктом "з"</w:t>
        </w:r>
      </w:hyperlink>
      <w:r>
        <w:rPr>
          <w:rFonts w:ascii="Calibri" w:hAnsi="Calibri" w:cs="Calibri"/>
        </w:rPr>
        <w:t xml:space="preserve"> порядка заполнения Формы N 88-1/у, в таблице в графе "Наименование рекомендованного протеза, протезно-ортопедического изделия" указываются виды протезов, протезно-ортопедических изделий, в которых нуждается ветеран в целях восстановления способности к бытовой, общественной и профессиональной деятельности.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ФАС России обращает внимание, что согласно </w:t>
      </w:r>
      <w:hyperlink r:id="rId30" w:history="1">
        <w:r>
          <w:rPr>
            <w:rFonts w:ascii="Calibri" w:hAnsi="Calibri" w:cs="Calibri"/>
            <w:color w:val="0000FF"/>
          </w:rPr>
          <w:t>части 4 статьи 38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27.12.2012 N 1416 "Об утверждении правил государственной регистрации медицинских изделий" в процессе государственной регистрации медицинского изделия подтверждается его качество, эффективность и безопасность. Зарегистрированное медицинское изделие отвечает установленным требованиям качества, эффективности, безопасности и может применяться по назначению.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вышеизложенное, ФАС России исходит из того, что в отсутствие решения уполномоченного федерального органа исполнительной власти (Росздравнадзора) об ограничении обращения указанных ТСР (бандажей, корсетов и реклинаторов) заказчики не могут ограничивать их обращение путем создания неконкурентных условий.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ФАС России сообщает, что в соответствии со </w:t>
      </w:r>
      <w:hyperlink r:id="rId32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Закона о защите конкуренции товарный рынок - это сфера обращения товара (в том числе товара иностранного производства), который не может быть заменен другим товаром, или взаимозаменяемых товаров (определенный товар), в границах которой (в том числе географических) исходя из экономической, технической или иной возможности либо целесообразности приобретатель может приобрести товар, и такая возможность</w:t>
      </w:r>
      <w:proofErr w:type="gramEnd"/>
      <w:r>
        <w:rPr>
          <w:rFonts w:ascii="Calibri" w:hAnsi="Calibri" w:cs="Calibri"/>
        </w:rPr>
        <w:t xml:space="preserve"> либо целесообразность отсутствует за ее пределами.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Применительно к исключительной ситуации, описанной в относительных медицинских противопоказаниях к применению бандажей, индивидуальная непереносимость материала, из которого изготовлено изделие, может служить основанием для признания антимонопольным органом таких изделий иным товарным рынком для целей реабилитации и восстановления функций организма определенного потребителя, у которого зафиксирована индивидуальная непереносимость материала, при этом относительное противопоказание должно быть предоставлено специалистами медицинской организации с указанием материалов, вызывающих</w:t>
      </w:r>
      <w:proofErr w:type="gramEnd"/>
      <w:r>
        <w:rPr>
          <w:rFonts w:ascii="Calibri" w:hAnsi="Calibri" w:cs="Calibri"/>
        </w:rPr>
        <w:t xml:space="preserve"> индивидуальную непереносимость, и подтверждаться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экспертизой.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ФАС России отмечает, что для таких пациентов с выявленной индивидуальной непереносимостью материалов закупки бандажей с указанием материала, из которого могут быть изготовлены ТСР, не вызывающие индивидуальную непереносимость, должны осуществляться отдельным лотом от других бандажей, закупаемых для обеспечения остальных инвалидов.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ФАС России обращает внимание, что при осуществлении закупок корсетов, бандажей и реклинаторов недопустимо устанавливать требования к комплектации и способам крепления ТСР (для всех групп инвалидов), а также к материалам, из которых должны быть изготовлены ТСР (за исключением случаев обеспечения бандажами инвалидов, имеющих индивидуальную непереносимость материала).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А.Б.КАШЕВАРОВ</w:t>
      </w: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4BCF" w:rsidRDefault="00E5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4BCF" w:rsidRDefault="00E54BC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E3A50" w:rsidRDefault="00EE3A50">
      <w:bookmarkStart w:id="0" w:name="_GoBack"/>
      <w:bookmarkEnd w:id="0"/>
    </w:p>
    <w:sectPr w:rsidR="00EE3A50" w:rsidSect="00DC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CF"/>
    <w:rsid w:val="00E54BCF"/>
    <w:rsid w:val="00E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44E91CE9008C84E1B214BADB6FD4AC07A18B090239F64E75DC39223FCFB4A0AF320353BV8S2H" TargetMode="External"/><Relationship Id="rId13" Type="http://schemas.openxmlformats.org/officeDocument/2006/relationships/hyperlink" Target="consultantplus://offline/ref=70E44E91CE9008C84E1B214BADB6FD4AC07B1FB394279F64E75DC39223FCFB4A0AF32030V3S8H" TargetMode="External"/><Relationship Id="rId18" Type="http://schemas.openxmlformats.org/officeDocument/2006/relationships/hyperlink" Target="consultantplus://offline/ref=70E44E91CE9008C84E1B214BADB6FD4AC07A1CB094269F64E75DC39223FCFB4A0AF320V3S1H" TargetMode="External"/><Relationship Id="rId26" Type="http://schemas.openxmlformats.org/officeDocument/2006/relationships/hyperlink" Target="consultantplus://offline/ref=70E44E91CE9008C84E1B214BADB6FD4AC6741AB4972BC26EEF04CF9024F3A45D0DBA2C333D8706VCS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E44E91CE9008C84E1B214BADB6FD4AC07A19B190289F64E75DC39223FCFB4A0AF320323D8707CFVES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0E44E91CE9008C84E1B214BADB6FD4AC07A1EB492259F64E75DC39223FCFB4A0AF320323D8704C6VES2H" TargetMode="External"/><Relationship Id="rId12" Type="http://schemas.openxmlformats.org/officeDocument/2006/relationships/hyperlink" Target="consultantplus://offline/ref=70E44E91CE9008C84E1B214BADB6FD4AC07A18B090239F64E75DC39223VFSCH" TargetMode="External"/><Relationship Id="rId17" Type="http://schemas.openxmlformats.org/officeDocument/2006/relationships/hyperlink" Target="consultantplus://offline/ref=70E44E91CE9008C84E1B214BADB6FD4AC07A18BA91289F64E75DC39223FCFB4A0AF320323D8707CEVESCH" TargetMode="External"/><Relationship Id="rId25" Type="http://schemas.openxmlformats.org/officeDocument/2006/relationships/hyperlink" Target="consultantplus://offline/ref=70E44E91CE9008C84E1B214BADB6FD4AC8791ABB912BC26EEF04CF9024F3A45D0DBA2C333D8706VCSD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E44E91CE9008C84E1B214BADB6FD4AC07B1FB394279F64E75DC39223FCFB4A0AF320323D8707C6VESDH" TargetMode="External"/><Relationship Id="rId20" Type="http://schemas.openxmlformats.org/officeDocument/2006/relationships/hyperlink" Target="consultantplus://offline/ref=70E44E91CE9008C84E1B214BADB6FD4AC07A1CB094269F64E75DC39223VFSCH" TargetMode="External"/><Relationship Id="rId29" Type="http://schemas.openxmlformats.org/officeDocument/2006/relationships/hyperlink" Target="consultantplus://offline/ref=70E44E91CE9008C84E1B214BADB6FD4AC6741AB4972BC26EEF04CF9024F3A45D0DBA2C333D8704VCS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E44E91CE9008C84E1B214BADB6FD4AC0781EB595279F64E75DC39223VFSCH" TargetMode="External"/><Relationship Id="rId11" Type="http://schemas.openxmlformats.org/officeDocument/2006/relationships/hyperlink" Target="consultantplus://offline/ref=70E44E91CE9008C84E1B214BADB6FD4AC07A1EB492259F64E75DC39223VFSCH" TargetMode="External"/><Relationship Id="rId24" Type="http://schemas.openxmlformats.org/officeDocument/2006/relationships/hyperlink" Target="consultantplus://offline/ref=70E44E91CE9008C84E1B214BADB6FD4AC07911B497229F64E75DC39223FCFB4A0AF320323D8707CAVES7H" TargetMode="External"/><Relationship Id="rId32" Type="http://schemas.openxmlformats.org/officeDocument/2006/relationships/hyperlink" Target="consultantplus://offline/ref=70E44E91CE9008C84E1B214BADB6FD4AC07A18B090239F64E75DC39223FCFB4A0AF320323D8707CCVES6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E44E91CE9008C84E1B214BADB6FD4AC07A1DB596239F64E75DC39223VFSCH" TargetMode="External"/><Relationship Id="rId23" Type="http://schemas.openxmlformats.org/officeDocument/2006/relationships/hyperlink" Target="consultantplus://offline/ref=70E44E91CE9008C84E1B214BADB6FD4AC07911B497229F64E75DC39223FCFB4A0AF320323D8707CFVES3H" TargetMode="External"/><Relationship Id="rId28" Type="http://schemas.openxmlformats.org/officeDocument/2006/relationships/hyperlink" Target="consultantplus://offline/ref=70E44E91CE9008C84E1B214BADB6FD4AC6741AB4972BC26EEF04CF9024F3A45D0DBA2C333D8706VCSBH" TargetMode="External"/><Relationship Id="rId10" Type="http://schemas.openxmlformats.org/officeDocument/2006/relationships/hyperlink" Target="consultantplus://offline/ref=70E44E91CE9008C84E1B214BADB6FD4AC07A18B090239F64E75DC39223FCFB4A0AF320353BV8S2H" TargetMode="External"/><Relationship Id="rId19" Type="http://schemas.openxmlformats.org/officeDocument/2006/relationships/hyperlink" Target="consultantplus://offline/ref=70E44E91CE9008C84E1B214BADB6FD4AC07B11BB92259F64E75DC39223FCFB4A0AF320323D8707CEVES2H" TargetMode="External"/><Relationship Id="rId31" Type="http://schemas.openxmlformats.org/officeDocument/2006/relationships/hyperlink" Target="consultantplus://offline/ref=70E44E91CE9008C84E1B214BADB6FD4AC07B1FB39E269F64E75DC39223VF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E44E91CE9008C84E1B214BADB6FD4AC07A1EB492259F64E75DC39223FCFB4A0AF320323D8704C6VES2H" TargetMode="External"/><Relationship Id="rId14" Type="http://schemas.openxmlformats.org/officeDocument/2006/relationships/hyperlink" Target="consultantplus://offline/ref=70E44E91CE9008C84E1B214BADB6FD4AC07A11B290299F64E75DC39223FCFB4A0AF320323D8706CCVES0H" TargetMode="External"/><Relationship Id="rId22" Type="http://schemas.openxmlformats.org/officeDocument/2006/relationships/hyperlink" Target="consultantplus://offline/ref=70E44E91CE9008C84E1B214BADB6FD4AC07A19B190289F64E75DC39223FCFB4A0AF320323D8707C9VES5H" TargetMode="External"/><Relationship Id="rId27" Type="http://schemas.openxmlformats.org/officeDocument/2006/relationships/hyperlink" Target="consultantplus://offline/ref=70E44E91CE9008C84E1B214BADB6FD4AC6741AB4972BC26EEF04CF9024F3A45D0DBA2C333D8705VCSBH" TargetMode="External"/><Relationship Id="rId30" Type="http://schemas.openxmlformats.org/officeDocument/2006/relationships/hyperlink" Target="consultantplus://offline/ref=70E44E91CE9008C84E1B214BADB6FD4AC07A1FB190249F64E75DC39223FCFB4A0AF320323D8703CFVE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2015-05-12T07:18:00Z</dcterms:created>
  <dcterms:modified xsi:type="dcterms:W3CDTF">2015-05-12T07:18:00Z</dcterms:modified>
</cp:coreProperties>
</file>